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4F8" w:rsidRDefault="00866E89">
      <w:pPr>
        <w:tabs>
          <w:tab w:val="center" w:pos="4252"/>
          <w:tab w:val="right" w:pos="8504"/>
        </w:tabs>
        <w:ind w:right="-195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ESTRATÉGIA DE A</w:t>
      </w:r>
      <w:r w:rsidR="00295C72">
        <w:rPr>
          <w:rFonts w:ascii="Arial" w:eastAsia="Arial" w:hAnsi="Arial" w:cs="Arial"/>
          <w:b/>
          <w:sz w:val="22"/>
          <w:szCs w:val="22"/>
        </w:rPr>
        <w:t>VALIAÇÃO</w:t>
      </w:r>
    </w:p>
    <w:p w:rsidR="00B804F8" w:rsidRDefault="00B804F8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1"/>
        <w:tblW w:w="1357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11204"/>
      </w:tblGrid>
      <w:tr w:rsidR="00B804F8">
        <w:tc>
          <w:tcPr>
            <w:tcW w:w="2370" w:type="dxa"/>
            <w:shd w:val="clear" w:color="auto" w:fill="CCCCCC"/>
          </w:tcPr>
          <w:p w:rsidR="00B804F8" w:rsidRDefault="00866E89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 w:colFirst="1" w:colLast="1"/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204" w:type="dxa"/>
            <w:shd w:val="clear" w:color="auto" w:fill="auto"/>
          </w:tcPr>
          <w:p w:rsidR="00B804F8" w:rsidRDefault="00B804F8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804F8">
        <w:trPr>
          <w:trHeight w:val="232"/>
        </w:trPr>
        <w:tc>
          <w:tcPr>
            <w:tcW w:w="2370" w:type="dxa"/>
            <w:shd w:val="clear" w:color="auto" w:fill="CCCCCC"/>
          </w:tcPr>
          <w:p w:rsidR="00B804F8" w:rsidRDefault="00866E89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204" w:type="dxa"/>
            <w:shd w:val="clear" w:color="auto" w:fill="auto"/>
          </w:tcPr>
          <w:p w:rsidR="00B804F8" w:rsidRDefault="00B804F8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bookmarkEnd w:id="0"/>
    </w:tbl>
    <w:p w:rsidR="00B804F8" w:rsidRDefault="00B804F8">
      <w:pPr>
        <w:tabs>
          <w:tab w:val="center" w:pos="4252"/>
          <w:tab w:val="right" w:pos="8504"/>
        </w:tabs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2"/>
        <w:tblW w:w="1368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0"/>
        <w:gridCol w:w="3330"/>
        <w:gridCol w:w="6570"/>
        <w:gridCol w:w="3120"/>
      </w:tblGrid>
      <w:tr w:rsidR="00B804F8">
        <w:trPr>
          <w:tblHeader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Nº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</w:tr>
      <w:tr w:rsidR="00B804F8">
        <w:trPr>
          <w:tblHeader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B804F8" w:rsidRDefault="00B804F8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Elementos da Estratégia de </w:t>
            </w:r>
            <w:r w:rsidR="00295C72"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Descrição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Comentário</w:t>
            </w:r>
          </w:p>
        </w:tc>
      </w:tr>
      <w:tr w:rsidR="00B804F8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Características da a</w:t>
            </w:r>
            <w:r w:rsidR="00D55E8C">
              <w:rPr>
                <w:rFonts w:ascii="Arial" w:eastAsia="Arial" w:hAnsi="Arial" w:cs="Arial"/>
                <w:b/>
                <w:sz w:val="20"/>
                <w:szCs w:val="20"/>
              </w:rPr>
              <w:t>valiação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(descrição introdutória da </w:t>
            </w:r>
            <w:r w:rsidR="00D55E8C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e informações contextuais, considerando as atribuições e competências do Tribunal e seu planejamento estratégico</w:t>
            </w:r>
            <w:r w:rsidR="00FB6EE1"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B804F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804F8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Objetivo da </w:t>
            </w:r>
            <w:r w:rsidR="00D55E8C"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(determinar o que se pretende responder por meio da a</w:t>
            </w:r>
            <w:r w:rsidR="009D09A3">
              <w:rPr>
                <w:rFonts w:ascii="Arial" w:eastAsia="Arial" w:hAnsi="Arial" w:cs="Arial"/>
                <w:color w:val="FF0000"/>
                <w:sz w:val="20"/>
                <w:szCs w:val="20"/>
              </w:rPr>
              <w:t>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, assegurando assertividade na formulação dos objetivos e identificação dos critérios. O objetivo da a</w:t>
            </w:r>
            <w:r w:rsidR="00364143">
              <w:rPr>
                <w:rFonts w:ascii="Arial" w:eastAsia="Arial" w:hAnsi="Arial" w:cs="Arial"/>
                <w:color w:val="FF0000"/>
                <w:sz w:val="20"/>
                <w:szCs w:val="20"/>
              </w:rPr>
              <w:t>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deve ser alcançável e deve identificar o objeto, a entidade ou as atividades da </w:t>
            </w:r>
            <w:r w:rsidR="00FB6EE1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B804F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804F8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Objeto, escopo e critérios de </w:t>
            </w:r>
            <w:r w:rsidR="00D55E8C"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(definir o escopo do objeto de forma a garantir cobertura suficiente para conduzir uma auditoria significativa e agregar valor para os usuários previstos. O objeto deve ser identificável e avaliável em relação a critérios de auditoria adequados. Por natureza, o objeto deve permitir que o auditor forme uma conclusão com o nível exigido de asseguração. Já o escopo da auditoria refere-se à área, extensão e período cobertos na auditoria do objeto, envolve a redução do objeto da auditoria a um número relativamente menor de questões relevantes que estejam relacionadas ao objetivo da auditoria e que possam ser auditadas com os recursos à disposição da equipe de auditoria. Numa auditoria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operacional temática ou que envolva diversas entidades, o escopo inclui a identificação das entidades que farão parte da auditoria. A declaração de escopo deve oferecer clareza sobre todas as áreas relacionadas, mas não incluídas na auditoria. Quanto aos critérios, nas auditorias com relatório direto, o auditor deve se certificar da existência de critérios de auditoria correspondentes, sendo que objetos e os critérios de auditoria relevantes podem já estar definidos pela legislação. Em trabalhos de certificação, os critérios de auditoria são fornecidos implicitamente por meio da apresentação de informações sobre o objeto (elaboradas com base nos próprios critérios). Nesse caso, o auditor precisa apresentar sua conclusão sobre a correção dos critérios implícitos nas informações sobre o objeto.)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B804F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804F8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013D6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Abordagem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especificar a abordagem de a</w:t>
            </w:r>
            <w:r w:rsidR="004555B6">
              <w:rPr>
                <w:rFonts w:ascii="Arial" w:eastAsia="Arial" w:hAnsi="Arial" w:cs="Arial"/>
                <w:color w:val="FF0000"/>
                <w:sz w:val="20"/>
                <w:szCs w:val="20"/>
              </w:rPr>
              <w:t>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(</w:t>
            </w:r>
            <w:r w:rsidR="004555B6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Guia Avaliação </w:t>
            </w:r>
            <w:proofErr w:type="spellStart"/>
            <w:r w:rsidR="004555B6" w:rsidRPr="004555B6"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ex</w:t>
            </w:r>
            <w:proofErr w:type="spellEnd"/>
            <w:r w:rsidR="004555B6" w:rsidRPr="004555B6"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 xml:space="preserve"> post</w:t>
            </w:r>
            <w:r w:rsidR="004555B6">
              <w:rPr>
                <w:rFonts w:ascii="Arial" w:eastAsia="Arial" w:hAnsi="Arial" w:cs="Arial"/>
                <w:color w:val="FF0000"/>
                <w:sz w:val="20"/>
                <w:szCs w:val="20"/>
              </w:rPr>
              <w:t>, IPEA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), se orientada a </w:t>
            </w:r>
            <w:r w:rsidR="004555B6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diagnóstico do problema, desenho, implementação, governança, resultados, impactos, análise da eficiência, retorno econômico e social,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ou uma combinação destas</w:t>
            </w:r>
            <w:r w:rsidR="00A26EE2"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B804F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trike/>
                <w:sz w:val="20"/>
                <w:szCs w:val="20"/>
              </w:rPr>
            </w:pPr>
          </w:p>
        </w:tc>
      </w:tr>
      <w:tr w:rsidR="00B804F8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013D6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Nível de asseguração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(especificar o nível de asseguração (NBASP</w:t>
            </w:r>
            <w:r w:rsidR="00916599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100</w:t>
            </w:r>
            <w:r w:rsidR="006C34D6">
              <w:rPr>
                <w:rFonts w:ascii="Arial" w:eastAsia="Arial" w:hAnsi="Arial" w:cs="Arial"/>
                <w:color w:val="FF0000"/>
                <w:sz w:val="20"/>
                <w:szCs w:val="20"/>
              </w:rPr>
              <w:t>/31 a 33;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300/22 e 3000/32): A equipe de </w:t>
            </w:r>
            <w:r w:rsidR="006C34D6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fornece asseguração aos usuários ao explicar, de maneira equilibrada e razoável, como os achados, os critérios e as conclusões foram desenvolvidos e porque os achados resultaram nas conclusões (NBASP 3000/33). vide pág. 51 a 53, </w:t>
            </w:r>
            <w:hyperlink r:id="rId8">
              <w:r>
                <w:rPr>
                  <w:rFonts w:ascii="Arial" w:eastAsia="Arial" w:hAnsi="Arial" w:cs="Arial"/>
                  <w:b/>
                  <w:color w:val="FF0000"/>
                  <w:sz w:val="20"/>
                  <w:szCs w:val="20"/>
                  <w:u w:val="single"/>
                </w:rPr>
                <w:t xml:space="preserve">Manual de Implementação das </w:t>
              </w:r>
              <w:proofErr w:type="spellStart"/>
              <w:r>
                <w:rPr>
                  <w:rFonts w:ascii="Arial" w:eastAsia="Arial" w:hAnsi="Arial" w:cs="Arial"/>
                  <w:b/>
                  <w:color w:val="FF0000"/>
                  <w:sz w:val="20"/>
                  <w:szCs w:val="20"/>
                  <w:u w:val="single"/>
                </w:rPr>
                <w:t>ISSAIs</w:t>
              </w:r>
              <w:proofErr w:type="spellEnd"/>
              <w:r>
                <w:rPr>
                  <w:rFonts w:ascii="Arial" w:eastAsia="Arial" w:hAnsi="Arial" w:cs="Arial"/>
                  <w:b/>
                  <w:color w:val="FF0000"/>
                  <w:sz w:val="20"/>
                  <w:szCs w:val="20"/>
                  <w:u w:val="single"/>
                </w:rPr>
                <w:t xml:space="preserve"> de Auditoria Operacional</w:t>
              </w:r>
            </w:hyperlink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B804F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804F8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013D6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Composição da equipe de auditoria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(listar os membros da equipe compondo as competências necessárias e, se houver necessidade, especificar de membros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externos  também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B804F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804F8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013D6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Mecanismos de controle de qualidade da a</w:t>
            </w:r>
            <w:r w:rsidR="001106A8">
              <w:rPr>
                <w:rFonts w:ascii="Arial" w:eastAsia="Arial" w:hAnsi="Arial" w:cs="Arial"/>
                <w:b/>
                <w:sz w:val="20"/>
                <w:szCs w:val="20"/>
              </w:rPr>
              <w:t>valiação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(descrição das etapas e mecanismos de controle de qualidade, considerando o que foi estabelecido da RN Nº 13/2023, que institui o Sistema de Qualidade das Fiscalizações –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SiQ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  <w:r w:rsidR="00A26EE2"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B804F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804F8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013D6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Comunicação com o</w:t>
            </w:r>
            <w:r w:rsidR="00D55E8C">
              <w:rPr>
                <w:rFonts w:ascii="Arial" w:eastAsia="Arial" w:hAnsi="Arial" w:cs="Arial"/>
                <w:b/>
                <w:sz w:val="20"/>
                <w:szCs w:val="20"/>
              </w:rPr>
              <w:t>s gestores e partes interessadas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(descrever como e quando a equipe se comunicará com </w:t>
            </w:r>
            <w:r w:rsidR="00D55E8C">
              <w:rPr>
                <w:rFonts w:ascii="Arial" w:eastAsia="Arial" w:hAnsi="Arial" w:cs="Arial"/>
                <w:color w:val="FF0000"/>
                <w:sz w:val="20"/>
                <w:szCs w:val="20"/>
              </w:rPr>
              <w:t>os gestores e partes interessadas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ao longo do processo de a</w:t>
            </w:r>
            <w:r w:rsidR="00D55E8C">
              <w:rPr>
                <w:rFonts w:ascii="Arial" w:eastAsia="Arial" w:hAnsi="Arial" w:cs="Arial"/>
                <w:color w:val="FF0000"/>
                <w:sz w:val="20"/>
                <w:szCs w:val="20"/>
              </w:rPr>
              <w:t>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  <w:r w:rsidR="00A26EE2"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B804F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804F8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013D6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Responsabilidades do relatório</w:t>
            </w:r>
          </w:p>
          <w:p w:rsidR="00B804F8" w:rsidRDefault="00B804F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(descrever para quem e quando o relatório será elaborado e de que forma a equipe deverá fazer isso)</w:t>
            </w:r>
            <w:r w:rsidR="00A26EE2"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B804F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804F8">
        <w:trPr>
          <w:trHeight w:val="457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  <w:r w:rsidR="00013D6E">
              <w:rPr>
                <w:rFonts w:ascii="Arial" w:eastAsia="Arial" w:hAnsi="Arial" w:cs="Arial"/>
                <w:b/>
                <w:sz w:val="20"/>
                <w:szCs w:val="20"/>
              </w:rPr>
              <w:t>0</w:t>
            </w:r>
          </w:p>
          <w:p w:rsidR="004608D8" w:rsidRDefault="004608D8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4608D8" w:rsidRDefault="004608D8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4608D8" w:rsidRDefault="004608D8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Outros assuntos significativos, se houver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(para documentar a estratégia de a</w:t>
            </w:r>
            <w:r w:rsidR="00D55E8C">
              <w:rPr>
                <w:rFonts w:ascii="Arial" w:eastAsia="Arial" w:hAnsi="Arial" w:cs="Arial"/>
                <w:color w:val="FF0000"/>
                <w:sz w:val="20"/>
                <w:szCs w:val="20"/>
              </w:rPr>
              <w:t>valiação,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 equipe pode modificar este papel de trabalho considerando o contexto específico da </w:t>
            </w:r>
            <w:r w:rsidR="00D55E8C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, o objeto, a complexidade e os critérios)</w:t>
            </w:r>
            <w:r w:rsidR="00A26EE2"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B804F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B804F8" w:rsidRDefault="00B804F8">
      <w:pPr>
        <w:rPr>
          <w:rFonts w:ascii="Arial" w:eastAsia="Arial" w:hAnsi="Arial" w:cs="Arial"/>
          <w:sz w:val="20"/>
          <w:szCs w:val="20"/>
        </w:rPr>
      </w:pPr>
    </w:p>
    <w:tbl>
      <w:tblPr>
        <w:tblStyle w:val="af3"/>
        <w:tblW w:w="137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55"/>
        <w:gridCol w:w="11670"/>
      </w:tblGrid>
      <w:tr w:rsidR="00B804F8">
        <w:trPr>
          <w:trHeight w:val="388"/>
        </w:trPr>
        <w:tc>
          <w:tcPr>
            <w:tcW w:w="2055" w:type="dxa"/>
            <w:shd w:val="clear" w:color="auto" w:fill="CCCCCC"/>
          </w:tcPr>
          <w:p w:rsidR="00B804F8" w:rsidRDefault="00866E89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COORDENADOR</w:t>
            </w:r>
          </w:p>
        </w:tc>
        <w:tc>
          <w:tcPr>
            <w:tcW w:w="11670" w:type="dxa"/>
            <w:shd w:val="clear" w:color="auto" w:fill="auto"/>
          </w:tcPr>
          <w:p w:rsidR="00B804F8" w:rsidRDefault="00B804F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04F8">
        <w:tc>
          <w:tcPr>
            <w:tcW w:w="13725" w:type="dxa"/>
            <w:gridSpan w:val="2"/>
            <w:shd w:val="clear" w:color="auto" w:fill="auto"/>
          </w:tcPr>
          <w:p w:rsidR="00B804F8" w:rsidRDefault="00866E89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EQUIPE:</w:t>
            </w:r>
          </w:p>
          <w:p w:rsidR="00B804F8" w:rsidRDefault="00866E8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B804F8" w:rsidRDefault="00866E8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B804F8" w:rsidRDefault="00866E8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B804F8" w:rsidRDefault="00B804F8">
      <w:pPr>
        <w:widowControl/>
        <w:rPr>
          <w:rFonts w:ascii="Arial" w:eastAsia="Arial" w:hAnsi="Arial" w:cs="Arial"/>
          <w:b/>
          <w:color w:val="1C4587"/>
          <w:sz w:val="20"/>
          <w:szCs w:val="20"/>
        </w:rPr>
        <w:sectPr w:rsidR="00B804F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5840" w:h="12240" w:orient="landscape"/>
          <w:pgMar w:top="1133" w:right="1133" w:bottom="1133" w:left="1133" w:header="709" w:footer="709" w:gutter="0"/>
          <w:pgNumType w:start="1"/>
          <w:cols w:space="720"/>
        </w:sectPr>
      </w:pPr>
    </w:p>
    <w:p w:rsidR="00B804F8" w:rsidRDefault="00866E89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da Estratégia de A</w:t>
      </w:r>
      <w:r w:rsidR="00D333EE">
        <w:rPr>
          <w:rFonts w:ascii="Arial" w:eastAsia="Arial" w:hAnsi="Arial" w:cs="Arial"/>
          <w:b/>
          <w:color w:val="1C4587"/>
          <w:sz w:val="20"/>
          <w:szCs w:val="20"/>
        </w:rPr>
        <w:t>valiação</w:t>
      </w:r>
    </w:p>
    <w:p w:rsidR="00B804F8" w:rsidRDefault="00B804F8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f4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B804F8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04F8" w:rsidRDefault="00866E89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04F8" w:rsidRDefault="00866E89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objetivo deste papel de trabalho é elaborar uma estratégia geral de a</w:t>
            </w:r>
            <w:r w:rsidR="003276DC">
              <w:rPr>
                <w:rFonts w:ascii="Arial" w:eastAsia="Arial" w:hAnsi="Arial" w:cs="Arial"/>
                <w:sz w:val="18"/>
                <w:szCs w:val="18"/>
              </w:rPr>
              <w:t>valiação,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detalhando os elementos necessários, permitindo compreender como cada item terá impacto no planejamento e na condução da a</w:t>
            </w:r>
            <w:r w:rsidR="003276DC">
              <w:rPr>
                <w:rFonts w:ascii="Arial" w:eastAsia="Arial" w:hAnsi="Arial" w:cs="Arial"/>
                <w:sz w:val="18"/>
                <w:szCs w:val="18"/>
              </w:rPr>
              <w:t>valiação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e na fase de relatório da a</w:t>
            </w:r>
            <w:r w:rsidR="002E05F3">
              <w:rPr>
                <w:rFonts w:ascii="Arial" w:eastAsia="Arial" w:hAnsi="Arial" w:cs="Arial"/>
                <w:sz w:val="18"/>
                <w:szCs w:val="18"/>
              </w:rPr>
              <w:t>valiação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  <w:p w:rsidR="00B804F8" w:rsidRDefault="00B804F8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804F8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04F8" w:rsidRDefault="00866E89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Requisito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04F8" w:rsidRDefault="00866E89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NBASP </w:t>
            </w:r>
            <w:r w:rsidR="002E05F3">
              <w:rPr>
                <w:rFonts w:ascii="Arial" w:eastAsia="Arial" w:hAnsi="Arial" w:cs="Arial"/>
                <w:sz w:val="18"/>
                <w:szCs w:val="18"/>
              </w:rPr>
              <w:t>100/48</w:t>
            </w:r>
            <w:r w:rsidR="00B76FEB">
              <w:rPr>
                <w:rFonts w:ascii="Arial" w:eastAsia="Arial" w:hAnsi="Arial" w:cs="Arial"/>
                <w:sz w:val="18"/>
                <w:szCs w:val="18"/>
              </w:rPr>
              <w:t>; 300/37 e 9020/5</w:t>
            </w:r>
          </w:p>
        </w:tc>
      </w:tr>
      <w:tr w:rsidR="00B804F8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04F8" w:rsidRDefault="00866E89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04F8" w:rsidRDefault="00B804F8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tbl>
            <w:tblPr>
              <w:tblStyle w:val="af5"/>
              <w:tblW w:w="7350" w:type="dxa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710"/>
              <w:gridCol w:w="5640"/>
            </w:tblGrid>
            <w:tr w:rsidR="00B804F8">
              <w:tc>
                <w:tcPr>
                  <w:tcW w:w="171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:rsidR="00B804F8" w:rsidRDefault="00866E89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Coluna 2</w:t>
                  </w:r>
                </w:p>
              </w:tc>
              <w:tc>
                <w:tcPr>
                  <w:tcW w:w="564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:rsidR="00B804F8" w:rsidRDefault="00866E89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Descreva com base nas decisões tomadas sobre cada elemento da estratégia mencionado na coluna 1.</w:t>
                  </w:r>
                </w:p>
              </w:tc>
            </w:tr>
            <w:tr w:rsidR="00B804F8">
              <w:tc>
                <w:tcPr>
                  <w:tcW w:w="171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  <w:shd w:val="clear" w:color="auto" w:fill="FFF2CC"/>
                </w:tcPr>
                <w:p w:rsidR="00B804F8" w:rsidRDefault="00866E89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Coluna 3</w:t>
                  </w:r>
                </w:p>
              </w:tc>
              <w:tc>
                <w:tcPr>
                  <w:tcW w:w="564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  <w:shd w:val="clear" w:color="auto" w:fill="FFF2CC"/>
                </w:tcPr>
                <w:p w:rsidR="00B804F8" w:rsidRDefault="00866E89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Adicionar comentários, se achar que os elementos estratégicos irão ter qualquer impacto no planejamento ou condução das etapas da auditoria</w:t>
                  </w:r>
                </w:p>
              </w:tc>
            </w:tr>
          </w:tbl>
          <w:p w:rsidR="00B804F8" w:rsidRDefault="00B804F8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B804F8" w:rsidRDefault="00866E8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estratégia de </w:t>
            </w:r>
            <w:r w:rsidR="00FB7455">
              <w:rPr>
                <w:rFonts w:ascii="Arial" w:eastAsia="Arial" w:hAnsi="Arial" w:cs="Arial"/>
                <w:sz w:val="18"/>
                <w:szCs w:val="18"/>
              </w:rPr>
              <w:t>avaliação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deve permitir obter uma visão geral das características, do objeto e dos objetivos de </w:t>
            </w:r>
            <w:r w:rsidR="00FB7455">
              <w:rPr>
                <w:rFonts w:ascii="Arial" w:eastAsia="Arial" w:hAnsi="Arial" w:cs="Arial"/>
                <w:sz w:val="18"/>
                <w:szCs w:val="18"/>
              </w:rPr>
              <w:t>avaliação</w:t>
            </w:r>
            <w:r>
              <w:rPr>
                <w:rFonts w:ascii="Arial" w:eastAsia="Arial" w:hAnsi="Arial" w:cs="Arial"/>
                <w:sz w:val="18"/>
                <w:szCs w:val="18"/>
              </w:rPr>
              <w:t>, os quais são necessários para a compreensão do relatório, fazendo-se as correlações com o ambiente organizacional em que está inserido (NBASP 100/45). Para isso deve haver especial atenção ao descrever:</w:t>
            </w:r>
          </w:p>
          <w:p w:rsidR="00B804F8" w:rsidRDefault="00866E8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O objeto fiscalizado, com as características necessárias à sua compreensão, tais como: relevância, histórico, competência do auditado, beneficiário, aspectos orçamentários financeiros, quando for o caso;</w:t>
            </w:r>
          </w:p>
          <w:p w:rsidR="00B804F8" w:rsidRDefault="00866E8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Legislação aplicável;</w:t>
            </w:r>
          </w:p>
          <w:p w:rsidR="00B804F8" w:rsidRDefault="00866E8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Objetivos institucionais do órgão/entidade fiscalizado, quando for o caso;</w:t>
            </w:r>
          </w:p>
          <w:p w:rsidR="00B804F8" w:rsidRDefault="00866E8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Pontos críticos e deficiências no sistema de controle.</w:t>
            </w:r>
          </w:p>
          <w:p w:rsidR="00B804F8" w:rsidRDefault="00B804F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sz w:val="18"/>
                <w:szCs w:val="18"/>
              </w:rPr>
            </w:pPr>
          </w:p>
          <w:p w:rsidR="0047621E" w:rsidRPr="0047621E" w:rsidRDefault="0047621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</w:pPr>
            <w:r w:rsidRPr="0047621E"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A partir das conclusões obtidas por meio da análise de viabilidade, da análise de riscos e do modelo lógico, a equipe poderá selecionar a abordagem de avaliação mais adequada e pertinente à situação corrente da política pública.</w:t>
            </w: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 xml:space="preserve"> </w:t>
            </w:r>
            <w:r w:rsidRPr="0047621E"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Assim, a equipe poderá optar por um ou mais destes tipos de abordagem</w:t>
            </w: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 xml:space="preserve">: </w:t>
            </w:r>
          </w:p>
          <w:p w:rsidR="00B804F8" w:rsidRDefault="00B804F8" w:rsidP="0047621E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bookmarkStart w:id="2" w:name="_heading=h.gjdgxs" w:colFirst="0" w:colLast="0"/>
            <w:bookmarkEnd w:id="2"/>
          </w:p>
          <w:p w:rsidR="0047621E" w:rsidRPr="0047621E" w:rsidRDefault="0047621E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</w:pPr>
            <w:bookmarkStart w:id="3" w:name="_heading=h.3znysh7" w:colFirst="0" w:colLast="0"/>
            <w:bookmarkEnd w:id="3"/>
            <w:r w:rsidRPr="0047621E"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Abordagem de Avaliação Executiva: estabelecer o panorama geral acerca de determinada política pública;</w:t>
            </w:r>
          </w:p>
          <w:p w:rsidR="0047621E" w:rsidRDefault="0047621E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</w:pPr>
            <w:r w:rsidRPr="0047621E"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Abordagem de Análise do Diagnóstico do Problema: assegurar que o diagnóstico que ensejou a criação dessa política estava correto e verificar se tal percepção se mantém;</w:t>
            </w:r>
          </w:p>
          <w:p w:rsidR="0047621E" w:rsidRDefault="0047621E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Abordagem de Avaliação de desenho: identificar a existência de erros ou falhas no desenho da política;</w:t>
            </w:r>
          </w:p>
          <w:p w:rsidR="00C174E8" w:rsidRDefault="0047621E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 xml:space="preserve">Abordagem de Avaliação de implementação: verificar se a política é implementada conforme seu desenho, identificando </w:t>
            </w:r>
            <w:r w:rsidR="00C174E8"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se os insumos, processos e produtos condizem com os resultados esperados ou se podem ser aprimorados;</w:t>
            </w:r>
          </w:p>
          <w:p w:rsidR="0047621E" w:rsidRDefault="00C174E8" w:rsidP="00C174E8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 xml:space="preserve">Abordagem de governança: </w:t>
            </w:r>
            <w:r w:rsidRPr="00C174E8"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análise das estruturas, das funções, dos processos e das tradições organizacionais para</w:t>
            </w: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 xml:space="preserve"> </w:t>
            </w:r>
            <w:r w:rsidRPr="00C174E8"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garantir que as ações planejadas (políticas) sejam executadas de tal maneira que atinjam seus</w:t>
            </w: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 xml:space="preserve"> </w:t>
            </w:r>
            <w:r w:rsidRPr="00C174E8"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objetivos e resultados de forma transparente</w:t>
            </w: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;</w:t>
            </w:r>
          </w:p>
          <w:p w:rsidR="00C174E8" w:rsidRDefault="00C174E8" w:rsidP="00C174E8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</w:pPr>
            <w:r w:rsidRPr="00C174E8"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Abordagem de Avaliação de Resultados:</w:t>
            </w: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 xml:space="preserve"> avaliar se </w:t>
            </w:r>
            <w:r w:rsidRPr="00C174E8"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 xml:space="preserve">os resultados estão sendo alcançados ao longo do tempo e se estão alinhados </w:t>
            </w: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com as metas estabelecidas.</w:t>
            </w:r>
          </w:p>
          <w:p w:rsidR="00FE225C" w:rsidRDefault="00FE225C" w:rsidP="00FE225C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</w:pPr>
            <w:r w:rsidRPr="00FE225C"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Abordagem de Avaliação de Impacto:</w:t>
            </w: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 xml:space="preserve"> busca quantificar os feitos causais da política na vida dos beneficiários;</w:t>
            </w:r>
          </w:p>
          <w:p w:rsidR="00FE225C" w:rsidRDefault="00FE225C" w:rsidP="00FE225C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</w:pPr>
            <w:r w:rsidRPr="00FE225C"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Abordagem de Avaliação de Retorno Econômico e Social:</w:t>
            </w: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 xml:space="preserve"> mensurar custo-benefício ou custo-efetividade da política;</w:t>
            </w:r>
          </w:p>
          <w:p w:rsidR="00FE225C" w:rsidRPr="00C174E8" w:rsidRDefault="00FE225C" w:rsidP="00FE225C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lastRenderedPageBreak/>
              <w:t xml:space="preserve">Abordagem de Análise de Eficiência: mensurar </w:t>
            </w:r>
            <w:r w:rsidRPr="00FE225C"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a eficiência técnica dos gastos das políticas</w:t>
            </w: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.</w:t>
            </w:r>
          </w:p>
          <w:p w:rsidR="00B804F8" w:rsidRDefault="00B804F8">
            <w:pPr>
              <w:tabs>
                <w:tab w:val="center" w:pos="4252"/>
                <w:tab w:val="right" w:pos="8504"/>
              </w:tabs>
              <w:ind w:left="72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04F8" w:rsidRDefault="00866E8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Equipe também deve estabelecer e descrever a forma de comunicação com </w:t>
            </w:r>
            <w:r w:rsidR="00FE225C">
              <w:rPr>
                <w:rFonts w:ascii="Arial" w:eastAsia="Arial" w:hAnsi="Arial" w:cs="Arial"/>
                <w:sz w:val="18"/>
                <w:szCs w:val="18"/>
              </w:rPr>
              <w:t>o avaliado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e/ou os responsáveis pela governança (pontos focais), bem como as responsabilidades para execução dessa tarefa, as datas previstas e os meios válidos e/ou oficiais.</w:t>
            </w:r>
          </w:p>
          <w:p w:rsidR="00B804F8" w:rsidRDefault="00B804F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307FFC" w:rsidRDefault="00307FFC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Para mais informações, consultar Avaliação de Políticas Públicas: Guia Prático de análise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ex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post, </w:t>
            </w:r>
            <w:r w:rsidR="00D3271D">
              <w:rPr>
                <w:rFonts w:ascii="Arial" w:eastAsia="Arial" w:hAnsi="Arial" w:cs="Arial"/>
                <w:sz w:val="18"/>
                <w:szCs w:val="18"/>
              </w:rPr>
              <w:t>IPEA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. Disponível em: </w:t>
            </w:r>
            <w:hyperlink r:id="rId15" w:history="1">
              <w:r w:rsidRPr="00C86A7D">
                <w:rPr>
                  <w:rStyle w:val="Hyperlink"/>
                  <w:rFonts w:ascii="Arial" w:eastAsia="Arial" w:hAnsi="Arial" w:cs="Arial"/>
                  <w:sz w:val="18"/>
                  <w:szCs w:val="18"/>
                </w:rPr>
                <w:t>https://www.gov.br/casacivil/pt-br/assuntos/downloads/guiaexpost.pdf/view</w:t>
              </w:r>
            </w:hyperlink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</w:tr>
      <w:tr w:rsidR="00B804F8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04F8" w:rsidRDefault="00866E89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04F8" w:rsidRDefault="00866E89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coordenador e o supervisor da equipe de auditoria precisam verificar se foram consideradas de maneira adequada todas as áreas significativas que possam afetar a auditoria, permitindo que a estratégia seja implementada de forma apropriada para lidar com os assuntos que provavelmente influenciarão o planejamento e a execução da auditoria. A estratégia de auditoria deve ser atualizada continuamente.</w:t>
            </w:r>
          </w:p>
          <w:p w:rsidR="00B804F8" w:rsidRDefault="00B804F8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804F8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04F8" w:rsidRDefault="00866E89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04F8" w:rsidRDefault="00866E89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tabela indicando o nome das pessoas que elaboraram e documentaram a estratégia, bem como seu(s) revisor(es) deverão ser preenchidas ao final. </w:t>
            </w:r>
          </w:p>
          <w:p w:rsidR="00B804F8" w:rsidRDefault="00B804F8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B804F8" w:rsidRDefault="00B804F8">
      <w:pPr>
        <w:rPr>
          <w:rFonts w:ascii="Arial" w:eastAsia="Arial" w:hAnsi="Arial" w:cs="Arial"/>
          <w:b/>
          <w:sz w:val="22"/>
          <w:szCs w:val="22"/>
        </w:rPr>
      </w:pPr>
    </w:p>
    <w:sectPr w:rsidR="00B804F8">
      <w:pgSz w:w="12240" w:h="15840"/>
      <w:pgMar w:top="1700" w:right="1133" w:bottom="1133" w:left="170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60A8" w:rsidRDefault="00866E89">
      <w:r>
        <w:separator/>
      </w:r>
    </w:p>
  </w:endnote>
  <w:endnote w:type="continuationSeparator" w:id="0">
    <w:p w:rsidR="008960A8" w:rsidRDefault="00866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4F8" w:rsidRDefault="00B804F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4F8" w:rsidRDefault="00866E89">
    <w:pPr>
      <w:widowControl/>
      <w:pBdr>
        <w:top w:val="single" w:sz="4" w:space="1" w:color="BFBFBF"/>
      </w:pBdr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 w:rsidR="00295C72"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>/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 w:rsidR="00295C72"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</w:p>
  <w:p w:rsidR="00B804F8" w:rsidRDefault="00866E89">
    <w:pPr>
      <w:widowControl/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22"/>
        <w:szCs w:val="22"/>
      </w:rPr>
    </w:pPr>
    <w:r>
      <w:rPr>
        <w:rFonts w:ascii="Arial" w:eastAsia="Arial" w:hAnsi="Arial" w:cs="Arial"/>
        <w:b/>
        <w:sz w:val="16"/>
        <w:szCs w:val="16"/>
      </w:rPr>
      <w:t>Telefone/PABX: (62) 3228-2000 – www.tce.go.gov.br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4F8" w:rsidRDefault="00B804F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60A8" w:rsidRDefault="00866E89">
      <w:r>
        <w:separator/>
      </w:r>
    </w:p>
  </w:footnote>
  <w:footnote w:type="continuationSeparator" w:id="0">
    <w:p w:rsidR="008960A8" w:rsidRDefault="00866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4F8" w:rsidRDefault="00B804F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4F8" w:rsidRDefault="00B804F8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f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B804F8">
      <w:trPr>
        <w:trHeight w:val="1418"/>
        <w:jc w:val="center"/>
      </w:trPr>
      <w:tc>
        <w:tcPr>
          <w:tcW w:w="3000" w:type="dxa"/>
          <w:vAlign w:val="center"/>
        </w:tcPr>
        <w:p w:rsidR="00B804F8" w:rsidRDefault="00B804F8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</w:p>
      </w:tc>
      <w:tc>
        <w:tcPr>
          <w:tcW w:w="9660" w:type="dxa"/>
          <w:vAlign w:val="center"/>
        </w:tcPr>
        <w:p w:rsidR="00B804F8" w:rsidRDefault="00045B9C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B161E0D" wp14:editId="4A8BC166">
                <wp:simplePos x="0" y="0"/>
                <wp:positionH relativeFrom="column">
                  <wp:posOffset>-1753870</wp:posOffset>
                </wp:positionH>
                <wp:positionV relativeFrom="paragraph">
                  <wp:posOffset>55245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66E89"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B804F8" w:rsidRDefault="00866E89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B804F8" w:rsidRDefault="00866E89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B804F8" w:rsidRDefault="00866E89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B804F8" w:rsidRDefault="00B804F8">
    <w:pPr>
      <w:widowControl/>
      <w:tabs>
        <w:tab w:val="center" w:pos="4252"/>
        <w:tab w:val="right" w:pos="8504"/>
      </w:tabs>
      <w:rPr>
        <w:rFonts w:ascii="Arial" w:eastAsia="Arial" w:hAnsi="Arial" w:cs="Arial"/>
        <w:b/>
        <w:sz w:val="22"/>
        <w:szCs w:val="22"/>
      </w:rPr>
    </w:pPr>
  </w:p>
  <w:p w:rsidR="00B804F8" w:rsidRDefault="00B804F8">
    <w:pPr>
      <w:tabs>
        <w:tab w:val="center" w:pos="4702"/>
        <w:tab w:val="right" w:pos="9405"/>
      </w:tabs>
      <w:rPr>
        <w:rFonts w:ascii="Arial" w:eastAsia="Arial" w:hAnsi="Arial" w:cs="Arial"/>
        <w:b/>
        <w:sz w:val="22"/>
        <w:szCs w:val="22"/>
      </w:rPr>
    </w:pPr>
    <w:bookmarkStart w:id="1" w:name="_heading=h.1fob9te" w:colFirst="0" w:colLast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4F8" w:rsidRDefault="00B804F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9F57C1"/>
    <w:multiLevelType w:val="multilevel"/>
    <w:tmpl w:val="A420DB34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4F8"/>
    <w:rsid w:val="00013D6E"/>
    <w:rsid w:val="00045B9C"/>
    <w:rsid w:val="001106A8"/>
    <w:rsid w:val="00295C72"/>
    <w:rsid w:val="002E05F3"/>
    <w:rsid w:val="00307FFC"/>
    <w:rsid w:val="003276DC"/>
    <w:rsid w:val="00364143"/>
    <w:rsid w:val="004555B6"/>
    <w:rsid w:val="004608D8"/>
    <w:rsid w:val="0047621E"/>
    <w:rsid w:val="006C34D6"/>
    <w:rsid w:val="00726353"/>
    <w:rsid w:val="007F50DD"/>
    <w:rsid w:val="00866E89"/>
    <w:rsid w:val="008960A8"/>
    <w:rsid w:val="00916599"/>
    <w:rsid w:val="009D09A3"/>
    <w:rsid w:val="00A26EE2"/>
    <w:rsid w:val="00B76FEB"/>
    <w:rsid w:val="00B804F8"/>
    <w:rsid w:val="00C174E8"/>
    <w:rsid w:val="00D3271D"/>
    <w:rsid w:val="00D333EE"/>
    <w:rsid w:val="00D55E8C"/>
    <w:rsid w:val="00E12BAD"/>
    <w:rsid w:val="00FB6EE1"/>
    <w:rsid w:val="00FB7455"/>
    <w:rsid w:val="00FE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00EA71-EE83-47DC-AA1B-882835D23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ind w:left="720" w:hanging="360"/>
      <w:jc w:val="center"/>
      <w:outlineLvl w:val="0"/>
    </w:pPr>
    <w:rPr>
      <w:b/>
      <w:sz w:val="36"/>
      <w:szCs w:val="36"/>
    </w:rPr>
  </w:style>
  <w:style w:type="paragraph" w:styleId="Ttulo2">
    <w:name w:val="heading 2"/>
    <w:basedOn w:val="Normal"/>
    <w:next w:val="Normal"/>
    <w:pPr>
      <w:keepNext/>
      <w:ind w:left="1440" w:hanging="360"/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pPr>
      <w:keepNext/>
      <w:ind w:left="2160" w:hanging="180"/>
      <w:jc w:val="center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0A4D3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A4D34"/>
  </w:style>
  <w:style w:type="paragraph" w:styleId="Rodap">
    <w:name w:val="footer"/>
    <w:basedOn w:val="Normal"/>
    <w:link w:val="RodapChar"/>
    <w:uiPriority w:val="99"/>
    <w:unhideWhenUsed/>
    <w:rsid w:val="000A4D3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A4D34"/>
  </w:style>
  <w:style w:type="table" w:styleId="Tabelacomgrade">
    <w:name w:val="Table Grid"/>
    <w:basedOn w:val="Tabelanormal"/>
    <w:uiPriority w:val="39"/>
    <w:rsid w:val="000A4D34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482ED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82EDE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82ED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2ED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2EDE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82ED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2EDE"/>
    <w:rPr>
      <w:rFonts w:ascii="Segoe UI" w:hAnsi="Segoe UI" w:cs="Segoe UI"/>
      <w:sz w:val="18"/>
      <w:szCs w:val="18"/>
    </w:rPr>
  </w:style>
  <w:style w:type="table" w:customStyle="1" w:styleId="a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307FFC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07F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bcontas.org.br/wp-content/uploads/2023/11/Manual-de-Implementacao-das-ISSAIs-Auditoria-Operacional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gov.br/casacivil/pt-br/assuntos/downloads/guiaexpost.pdf/view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Yz2Ku9eVZ/6nPp985c/DmpT9sA==">CgMxLjAyCGguZ2pkZ3hzMgloLjN6bnlzaDcyCWguMWZvYjl0ZTgAajUKFHN1Z2dlc3QuajMxb2l6bzhhYjllEh1TRVJWSU8gVFVMSU8gVEVJWEVJUkEgRSBTSUxWQXIhMTdETDJzclpjOW1FTGE3MkJSMHcybkZrN0V0X2pPQXVw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1257</Words>
  <Characters>6791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Valter Mario Canedo Filho</dc:creator>
  <cp:lastModifiedBy>Andrea Calixto Abdalla Ribeiro</cp:lastModifiedBy>
  <cp:revision>18</cp:revision>
  <dcterms:created xsi:type="dcterms:W3CDTF">2024-08-30T13:17:00Z</dcterms:created>
  <dcterms:modified xsi:type="dcterms:W3CDTF">2025-08-04T13:18:00Z</dcterms:modified>
</cp:coreProperties>
</file>